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16" w:rsidRDefault="00420216" w:rsidP="0042021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«Детский сад» с. </w:t>
      </w:r>
      <w:proofErr w:type="spellStart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Будамша</w:t>
      </w:r>
      <w:proofErr w:type="spellEnd"/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Новоорского</w:t>
      </w:r>
      <w:proofErr w:type="spellEnd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 Оренбургской области»</w:t>
      </w:r>
    </w:p>
    <w:p w:rsidR="00420216" w:rsidRPr="00420216" w:rsidRDefault="00420216" w:rsidP="0038542F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(МДОУ «Детский сад» с. </w:t>
      </w:r>
      <w:proofErr w:type="spellStart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Будамша</w:t>
      </w:r>
      <w:proofErr w:type="spellEnd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Новоорского</w:t>
      </w:r>
      <w:proofErr w:type="spellEnd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района»)</w:t>
      </w:r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-5716</wp:posOffset>
                </wp:positionV>
                <wp:extent cx="61722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EDA10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3pt,-.45pt" to="477.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Адрес: Россия, 462808, Оренбургская область, </w:t>
      </w:r>
      <w:proofErr w:type="spellStart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Новоорский</w:t>
      </w:r>
      <w:proofErr w:type="spellEnd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район, с. </w:t>
      </w:r>
      <w:proofErr w:type="spellStart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Будамша</w:t>
      </w:r>
      <w:proofErr w:type="spellEnd"/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ул. Школьная, д. 8</w:t>
      </w:r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Тел.: 8(35363)7-62-02 </w:t>
      </w:r>
    </w:p>
    <w:p w:rsidR="00420216" w:rsidRPr="00420216" w:rsidRDefault="00420216" w:rsidP="0038542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0216">
        <w:rPr>
          <w:rFonts w:ascii="Times New Roman" w:eastAsia="Calibri" w:hAnsi="Times New Roman" w:cs="Times New Roman"/>
          <w:sz w:val="24"/>
          <w:szCs w:val="24"/>
          <w:lang w:val="ru-RU"/>
        </w:rPr>
        <w:t>ИНН 5635007992, КПП 563501001</w:t>
      </w:r>
    </w:p>
    <w:p w:rsidR="006C52E3" w:rsidRPr="00420216" w:rsidRDefault="006C52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4"/>
        <w:gridCol w:w="51"/>
        <w:gridCol w:w="50"/>
        <w:gridCol w:w="3229"/>
      </w:tblGrid>
      <w:tr w:rsidR="00420216" w:rsidRPr="00EA4F3B" w:rsidTr="0038542F">
        <w:tc>
          <w:tcPr>
            <w:tcW w:w="36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216" w:rsidRDefault="00420216" w:rsidP="004202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202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20216" w:rsidRDefault="00420216" w:rsidP="0042021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Будамша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20216" w:rsidRPr="00420216" w:rsidRDefault="00420216" w:rsidP="004202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031DA1" w:rsidRP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51" w:type="dxa"/>
          </w:tcPr>
          <w:p w:rsidR="00420216" w:rsidRPr="00420216" w:rsidRDefault="00420216" w:rsidP="004202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" w:type="dxa"/>
          </w:tcPr>
          <w:p w:rsidR="00420216" w:rsidRPr="00420216" w:rsidRDefault="00420216" w:rsidP="004202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216" w:rsidRDefault="00420216" w:rsidP="003854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202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</w:p>
          <w:p w:rsidR="00420216" w:rsidRDefault="00420216" w:rsidP="0038542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Будамша</w:t>
            </w:r>
            <w:proofErr w:type="spellEnd"/>
          </w:p>
          <w:p w:rsidR="00420216" w:rsidRPr="00420216" w:rsidRDefault="00420216" w:rsidP="0038542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 Б.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Самурат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 w:rsidRPr="004202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31DA1" w:rsidRP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31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bookmarkStart w:id="0" w:name="_GoBack"/>
        <w:bookmarkEnd w:id="0"/>
      </w:tr>
    </w:tbl>
    <w:p w:rsidR="00420216" w:rsidRPr="0038542F" w:rsidRDefault="00420216" w:rsidP="00385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0216" w:rsidRPr="0038542F" w:rsidRDefault="00420216" w:rsidP="0042021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38542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85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8542F">
        <w:rPr>
          <w:sz w:val="24"/>
          <w:szCs w:val="24"/>
          <w:lang w:val="ru-RU"/>
        </w:rPr>
        <w:br/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38542F">
        <w:rPr>
          <w:sz w:val="24"/>
          <w:szCs w:val="24"/>
          <w:lang w:val="ru-RU"/>
        </w:rPr>
        <w:br/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сад» с. </w:t>
      </w:r>
      <w:proofErr w:type="spellStart"/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Будамша</w:t>
      </w:r>
      <w:proofErr w:type="spellEnd"/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</w:p>
    <w:p w:rsidR="006C52E3" w:rsidRDefault="00420216" w:rsidP="0038542F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38542F">
        <w:rPr>
          <w:rFonts w:hAnsi="Times New Roman" w:cs="Times New Roman"/>
          <w:color w:val="000000"/>
          <w:sz w:val="24"/>
          <w:szCs w:val="24"/>
        </w:rPr>
        <w:t> </w:t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:rsidR="0038542F" w:rsidRPr="00420216" w:rsidRDefault="0038542F" w:rsidP="0038542F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Default="004202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6435"/>
      </w:tblGrid>
      <w:tr w:rsidR="00DF5B38" w:rsidRPr="00EA4F3B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 бюджетное дошкольное образовательное учреждение «Детский сад» с.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Будамша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Новоорского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района Оренбургской области</w:t>
            </w:r>
          </w:p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(МДОУ «Детский сад» с.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Будамша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Самуратова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йгуль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Бакбергеновна</w:t>
            </w:r>
            <w:proofErr w:type="spellEnd"/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462808, Оренбургская область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Новоорский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район </w:t>
            </w:r>
          </w:p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Будамша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ул. Школьная, 8</w:t>
            </w:r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8(35363)7-62-02</w:t>
            </w:r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207E02" w:rsidP="00DF5B38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hyperlink r:id="rId6" w:history="1">
              <w:r w:rsidR="00DF5B38" w:rsidRPr="00DF5B38">
                <w:rPr>
                  <w:rFonts w:ascii="Calibri" w:eastAsia="Calibri" w:hAnsi="Calibri" w:cs="Times New Roman"/>
                  <w:color w:val="0000FF"/>
                  <w:u w:val="single"/>
                </w:rPr>
                <w:t>mdovbvdamscha201</w:t>
              </w:r>
              <w:r w:rsidR="00DF5B38" w:rsidRPr="00DF5B38">
                <w:rPr>
                  <w:rFonts w:ascii="Calibri" w:eastAsia="Calibri" w:hAnsi="Calibri" w:cs="Times New Roman"/>
                  <w:color w:val="0000FF"/>
                  <w:u w:val="single"/>
                  <w:lang w:val="ru-RU"/>
                </w:rPr>
                <w:t>2</w:t>
              </w:r>
              <w:r w:rsidR="00DF5B38" w:rsidRPr="00DF5B38">
                <w:rPr>
                  <w:rFonts w:ascii="Calibri" w:eastAsia="Calibri" w:hAnsi="Calibri" w:cs="Times New Roman"/>
                  <w:color w:val="0000FF"/>
                  <w:u w:val="single"/>
                </w:rPr>
                <w:t>@yandex.ru</w:t>
              </w:r>
            </w:hyperlink>
            <w:r w:rsidR="00DF5B38" w:rsidRPr="00DF5B38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F5B38" w:rsidRPr="00EA4F3B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Администрация </w:t>
            </w:r>
            <w:proofErr w:type="spellStart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Новоорского</w:t>
            </w:r>
            <w:proofErr w:type="spellEnd"/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района Оренбургской области</w:t>
            </w:r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1981 год</w:t>
            </w:r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DF5B38" w:rsidRDefault="00DF5B38" w:rsidP="00DF5B38">
            <w:pPr>
              <w:spacing w:before="0" w:beforeAutospacing="0" w:after="200" w:afterAutospacing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5B38" w:rsidRPr="00DF5B38" w:rsidTr="0038542F">
        <w:trPr>
          <w:trHeight w:val="42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DF5B38" w:rsidRDefault="00DF5B38" w:rsidP="00DF5B38">
            <w:pPr>
              <w:spacing w:before="12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Устав 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DF5B38" w:rsidRDefault="00DF5B38" w:rsidP="00DF5B38">
            <w:pPr>
              <w:spacing w:before="0" w:beforeAutospacing="0" w:after="20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DF5B38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№ 779-П от 18 июля 2016 г.</w:t>
            </w:r>
          </w:p>
        </w:tc>
      </w:tr>
    </w:tbl>
    <w:p w:rsidR="006C52E3" w:rsidRPr="00420216" w:rsidRDefault="00420216" w:rsidP="00E71A3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сад» </w:t>
      </w:r>
      <w:r w:rsidR="00DF5B38"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="00DF5B38">
        <w:rPr>
          <w:rFonts w:hAnsi="Times New Roman" w:cs="Times New Roman"/>
          <w:color w:val="000000"/>
          <w:sz w:val="24"/>
          <w:szCs w:val="24"/>
          <w:lang w:val="ru-RU"/>
        </w:rPr>
        <w:t>Будамша</w:t>
      </w:r>
      <w:proofErr w:type="spellEnd"/>
      <w:r w:rsidR="00DF5B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5B38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DF5B3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DF5B38"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="00DF5B38">
        <w:rPr>
          <w:rFonts w:hAnsi="Times New Roman" w:cs="Times New Roman"/>
          <w:color w:val="000000"/>
          <w:sz w:val="24"/>
          <w:szCs w:val="24"/>
          <w:lang w:val="ru-RU"/>
        </w:rPr>
        <w:t>Будамша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5B38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DF5B38">
        <w:rPr>
          <w:rFonts w:hAnsi="Times New Roman" w:cs="Times New Roman"/>
          <w:color w:val="000000"/>
          <w:sz w:val="24"/>
          <w:szCs w:val="24"/>
          <w:lang w:val="ru-RU"/>
        </w:rPr>
        <w:t xml:space="preserve"> 722,8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DF5B38" w:rsidRPr="00DF5B3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процесса, 1753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6C52E3" w:rsidRPr="00420216" w:rsidRDefault="00420216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420216">
        <w:rPr>
          <w:lang w:val="ru-RU"/>
        </w:rPr>
        <w:br/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6C52E3" w:rsidRPr="00420216" w:rsidRDefault="00420216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6C52E3" w:rsidRDefault="00420216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B529A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529A">
        <w:rPr>
          <w:rFonts w:hAnsi="Times New Roman" w:cs="Times New Roman"/>
          <w:color w:val="000000"/>
          <w:sz w:val="24"/>
          <w:szCs w:val="24"/>
          <w:lang w:val="ru-RU"/>
        </w:rPr>
        <w:t>8:3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529A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2C2ED5" w:rsidRPr="00420216" w:rsidRDefault="002C2ED5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2C2ED5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C52E3" w:rsidRPr="00420216" w:rsidRDefault="00420216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6C52E3" w:rsidRPr="00420216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C52E3" w:rsidRPr="00420216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C52E3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542F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38542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42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38542F" w:rsidRPr="0038542F" w:rsidRDefault="00A25FFF" w:rsidP="00A25F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</w:t>
      </w:r>
      <w:r w:rsidR="0038542F" w:rsidRPr="0038542F">
        <w:rPr>
          <w:rFonts w:ascii="Times New Roman" w:eastAsia="Times New Roman" w:hAnsi="Times New Roman" w:cs="Times New Roman"/>
          <w:lang w:val="ru-RU" w:eastAsia="ru-RU"/>
        </w:rPr>
        <w:t>− 1 ра</w:t>
      </w:r>
      <w:r w:rsidR="0038542F">
        <w:rPr>
          <w:rFonts w:ascii="Times New Roman" w:eastAsia="Times New Roman" w:hAnsi="Times New Roman" w:cs="Times New Roman"/>
          <w:lang w:val="ru-RU" w:eastAsia="ru-RU"/>
        </w:rPr>
        <w:t>зновозрастная младшая группа – 14</w:t>
      </w:r>
      <w:r w:rsidR="0038542F" w:rsidRPr="0038542F">
        <w:rPr>
          <w:rFonts w:ascii="Times New Roman" w:eastAsia="Times New Roman" w:hAnsi="Times New Roman" w:cs="Times New Roman"/>
          <w:lang w:val="ru-RU" w:eastAsia="ru-RU"/>
        </w:rPr>
        <w:t xml:space="preserve"> детей;</w:t>
      </w:r>
    </w:p>
    <w:p w:rsidR="0038542F" w:rsidRPr="0038542F" w:rsidRDefault="0038542F" w:rsidP="00E71A3C">
      <w:pPr>
        <w:spacing w:before="0" w:beforeAutospacing="0" w:after="0" w:afterAutospacing="0"/>
        <w:ind w:left="-142"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8542F">
        <w:rPr>
          <w:rFonts w:ascii="Times New Roman" w:eastAsia="Times New Roman" w:hAnsi="Times New Roman" w:cs="Times New Roman"/>
          <w:lang w:val="ru-RU" w:eastAsia="ru-RU"/>
        </w:rPr>
        <w:t>− 2 ра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зновозрастная старшая группа – 11 </w:t>
      </w:r>
      <w:r w:rsidRPr="0038542F">
        <w:rPr>
          <w:rFonts w:ascii="Times New Roman" w:eastAsia="Times New Roman" w:hAnsi="Times New Roman" w:cs="Times New Roman"/>
          <w:lang w:val="ru-RU" w:eastAsia="ru-RU"/>
        </w:rPr>
        <w:t xml:space="preserve">детей; </w:t>
      </w:r>
    </w:p>
    <w:p w:rsidR="006C52E3" w:rsidRPr="00420216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6C52E3" w:rsidRPr="00420216" w:rsidRDefault="00420216" w:rsidP="002C2ED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третей декаде года снизилась на 15 % по сравнению с показателями первого полугодия. В четвертой декаде процент снижения составил 12</w:t>
      </w:r>
      <w:r w:rsidR="00E71A3C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2E3" w:rsidRPr="00420216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71A3C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71A3C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C52E3" w:rsidRPr="00420216" w:rsidRDefault="00420216" w:rsidP="00E71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2C2ED5" w:rsidRPr="00EA4F3B" w:rsidRDefault="002C2ED5" w:rsidP="00E71A3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2ED5" w:rsidRPr="00EA4F3B" w:rsidRDefault="002C2ED5" w:rsidP="00E71A3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Default="00420216" w:rsidP="00E71A3C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5"/>
        <w:gridCol w:w="1980"/>
        <w:gridCol w:w="5414"/>
      </w:tblGrid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>
            <w:pPr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C52E3" w:rsidRPr="00534E79" w:rsidRDefault="00420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E79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534E79" w:rsidRPr="00534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4E79">
        <w:rPr>
          <w:rFonts w:hAnsi="Times New Roman" w:cs="Times New Roman"/>
          <w:color w:val="000000"/>
          <w:sz w:val="24"/>
          <w:szCs w:val="24"/>
          <w:lang w:val="ru-RU"/>
        </w:rPr>
        <w:t>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E79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5"/>
        <w:gridCol w:w="1957"/>
        <w:gridCol w:w="5277"/>
      </w:tblGrid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>
            <w:pPr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534E79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C52E3" w:rsidRPr="00420216" w:rsidRDefault="00420216" w:rsidP="00534E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534E79" w:rsidRDefault="00420216" w:rsidP="00534E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C52E3" w:rsidRPr="00420216" w:rsidRDefault="00420216" w:rsidP="00534E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дополнительные общеразвивающие программы </w:t>
      </w:r>
      <w:r w:rsidR="00534E79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 w:rsidR="00534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2E3" w:rsidRPr="00420216" w:rsidRDefault="00420216" w:rsidP="00534E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534E79" w:rsidRDefault="00420216" w:rsidP="00534E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2C2ED5" w:rsidRDefault="00420216" w:rsidP="002C2ED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C52E3" w:rsidRDefault="00420216" w:rsidP="002C2ED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p w:rsidR="002C2ED5" w:rsidRPr="00420216" w:rsidRDefault="002C2ED5" w:rsidP="002C2ED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5"/>
        <w:gridCol w:w="7604"/>
      </w:tblGrid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>
            <w:pPr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</w:t>
            </w:r>
          </w:p>
          <w:p w:rsidR="006C52E3" w:rsidRPr="00A25FFF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A2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6C52E3" w:rsidRPr="00A25FFF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A2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6C52E3" w:rsidRPr="00A25FFF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A2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6C52E3" w:rsidRPr="00420216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6C52E3" w:rsidRPr="00A25FFF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A2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6C52E3" w:rsidRPr="00420216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C52E3" w:rsidRPr="00420216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C52E3" w:rsidRDefault="00A25FFF" w:rsidP="00A25FF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FFF" w:rsidRDefault="00420216" w:rsidP="00A25F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C52E3" w:rsidRPr="00420216" w:rsidRDefault="00A25FFF" w:rsidP="00A25F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C52E3" w:rsidRPr="00420216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C52E3" w:rsidRPr="00420216" w:rsidRDefault="00A25FFF" w:rsidP="00A25FF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C52E3" w:rsidRPr="00420216" w:rsidRDefault="00A25FFF" w:rsidP="00A25FF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0216"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C2ED5" w:rsidRDefault="002C2ED5" w:rsidP="00534E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EA4F3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C52E3" w:rsidRPr="00420216" w:rsidRDefault="00420216" w:rsidP="00EA4F3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 2022 года успешно апробировали функцию заключения трудовых договоров через платформу «Работа в России». В 2023 году планируем продолжить ее использовать для заключения гражданско-правовых договоров.</w:t>
      </w:r>
    </w:p>
    <w:p w:rsidR="006C52E3" w:rsidRPr="00420216" w:rsidRDefault="00420216" w:rsidP="00534E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C52E3" w:rsidRPr="00A25FFF" w:rsidRDefault="00420216" w:rsidP="00534E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A25FFF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6C52E3" w:rsidRPr="00A25FFF" w:rsidRDefault="00A25FFF" w:rsidP="00A25FF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A25FF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срезы;</w:t>
      </w:r>
    </w:p>
    <w:p w:rsidR="006C52E3" w:rsidRPr="00A25FFF" w:rsidRDefault="00A25FFF" w:rsidP="00A25F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A25FFF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25FF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20216" w:rsidRPr="00A25FFF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итоговые занятия.</w:t>
      </w:r>
    </w:p>
    <w:p w:rsidR="006C52E3" w:rsidRDefault="00420216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конец 2022 года выглядят следующим образом:</w:t>
      </w:r>
    </w:p>
    <w:p w:rsidR="00A25FFF" w:rsidRPr="00420216" w:rsidRDefault="00A25FFF" w:rsidP="00A25F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4"/>
        <w:gridCol w:w="707"/>
        <w:gridCol w:w="578"/>
        <w:gridCol w:w="695"/>
        <w:gridCol w:w="570"/>
        <w:gridCol w:w="723"/>
        <w:gridCol w:w="464"/>
        <w:gridCol w:w="695"/>
        <w:gridCol w:w="2243"/>
      </w:tblGrid>
      <w:tr w:rsidR="006C52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>
            <w:pPr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6C52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6C52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A25FFF" w:rsidRDefault="00A25FFF" w:rsidP="00534E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E79" w:rsidRDefault="00420216" w:rsidP="00534E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июне 2022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34E7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534E79" w:rsidRDefault="00420216" w:rsidP="00EA4F3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C52E3" w:rsidRDefault="00420216" w:rsidP="00EA4F3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p w:rsidR="002C2ED5" w:rsidRPr="00420216" w:rsidRDefault="002C2ED5" w:rsidP="00534E7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8"/>
        <w:gridCol w:w="2973"/>
        <w:gridCol w:w="4588"/>
      </w:tblGrid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6C52E3" w:rsidRPr="00EA4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437780" w:rsidRPr="002C2ED5" w:rsidRDefault="00437780" w:rsidP="00437780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C52E3" w:rsidRPr="00420216" w:rsidRDefault="00A25FFF" w:rsidP="00A25FF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C52E3" w:rsidRPr="00A25FFF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A25FF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FFF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C52E3" w:rsidRPr="00420216" w:rsidRDefault="00A25FFF" w:rsidP="00A25FF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6C52E3" w:rsidRPr="00420216" w:rsidRDefault="00A25FFF" w:rsidP="00A25FF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 w:rsidR="00420216">
        <w:rPr>
          <w:rFonts w:hAnsi="Times New Roman" w:cs="Times New Roman"/>
          <w:color w:val="000000"/>
          <w:sz w:val="24"/>
          <w:szCs w:val="24"/>
        </w:rPr>
        <w:t>COVID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Детский сад 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, ранее проживавших на территории Украины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>, не поступало.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52E3" w:rsidRPr="00420216" w:rsidRDefault="006C52E3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C52E3" w:rsidRPr="00420216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C52E3" w:rsidRPr="00437780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37780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3778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420216" w:rsidRPr="00437780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:rsidR="006C52E3" w:rsidRPr="00437780" w:rsidRDefault="00A25FFF" w:rsidP="00A25FF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37780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3778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420216" w:rsidRPr="00437780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6C52E3" w:rsidRPr="00437780" w:rsidRDefault="00420216" w:rsidP="0043778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6C52E3" w:rsidRPr="002C2ED5" w:rsidRDefault="00A25FFF" w:rsidP="00A25FF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2C2ED5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2C2ED5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2C2ED5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A42CEC" w:rsidRDefault="00420216" w:rsidP="002C2ED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прошли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C2ED5" w:rsidRDefault="002C2ED5" w:rsidP="00A42C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</w:p>
    <w:p w:rsidR="00A42CEC" w:rsidRDefault="00A42CEC" w:rsidP="00A42C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 w:rsidRPr="001B529A">
        <w:rPr>
          <w:rFonts w:ascii="Times New Roman" w:eastAsia="Times New Roman" w:hAnsi="Times New Roman" w:cs="Times New Roman"/>
          <w:i/>
          <w:lang w:val="ru-RU" w:eastAsia="ru-RU"/>
        </w:rPr>
        <w:t>Диаграмма с характеристиками кадрового состава Детского сада</w:t>
      </w:r>
    </w:p>
    <w:p w:rsidR="00A42CEC" w:rsidRPr="001B529A" w:rsidRDefault="00A42CEC" w:rsidP="00A42C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</w:p>
    <w:p w:rsidR="00A42CEC" w:rsidRPr="001B529A" w:rsidRDefault="00A42CEC" w:rsidP="002C2ED5">
      <w:pPr>
        <w:shd w:val="clear" w:color="auto" w:fill="FFFFFF"/>
        <w:spacing w:before="0" w:beforeAutospacing="0" w:after="167" w:afterAutospacing="0"/>
        <w:jc w:val="center"/>
        <w:rPr>
          <w:rFonts w:ascii="Arial" w:eastAsia="Times New Roman" w:hAnsi="Arial" w:cs="Arial"/>
          <w:i/>
          <w:iCs/>
          <w:color w:val="222222"/>
          <w:shd w:val="clear" w:color="auto" w:fill="FFFFCC"/>
          <w:lang w:val="ru-RU" w:eastAsia="ru-RU"/>
        </w:rPr>
      </w:pPr>
      <w:r w:rsidRPr="001B529A">
        <w:rPr>
          <w:rFonts w:ascii="Arial" w:eastAsia="Times New Roman" w:hAnsi="Arial" w:cs="Arial"/>
          <w:i/>
          <w:iCs/>
          <w:noProof/>
          <w:color w:val="222222"/>
          <w:shd w:val="clear" w:color="auto" w:fill="FFFFCC"/>
          <w:lang w:val="ru-RU" w:eastAsia="ru-RU"/>
        </w:rPr>
        <w:drawing>
          <wp:inline distT="0" distB="0" distL="0" distR="0" wp14:anchorId="0ACDBACA" wp14:editId="11838B76">
            <wp:extent cx="4448175" cy="1704975"/>
            <wp:effectExtent l="0" t="0" r="9525" b="952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52E3" w:rsidRPr="00420216" w:rsidRDefault="00A42CEC" w:rsidP="00A42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По итогам 2022 года Детский сад перешел на применение профессиональных стандартов. Из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педагоги Детского сада приняли участие: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0216">
        <w:rPr>
          <w:rFonts w:hAnsi="Times New Roman" w:cs="Times New Roman"/>
          <w:color w:val="000000"/>
          <w:sz w:val="24"/>
          <w:szCs w:val="24"/>
        </w:rPr>
        <w:t> III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6C52E3" w:rsidRPr="00437780" w:rsidRDefault="00A25FFF" w:rsidP="00A25FF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 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рисковым мест рабочего процесса, а именно: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модернизировать песочницы и сделать деревянную крышку люка с </w:t>
      </w:r>
      <w:proofErr w:type="spellStart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нетравматичным</w:t>
      </w:r>
      <w:proofErr w:type="spellEnd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замком;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заменить настил во входной группе на нескользкий;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заменить </w:t>
      </w:r>
      <w:r w:rsidR="00437780">
        <w:rPr>
          <w:rFonts w:hAnsi="Times New Roman" w:cs="Times New Roman"/>
          <w:color w:val="000000"/>
          <w:sz w:val="24"/>
          <w:szCs w:val="24"/>
          <w:lang w:val="ru-RU"/>
        </w:rPr>
        <w:t>окна в музыкальном зале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52E3" w:rsidRPr="002C2ED5" w:rsidRDefault="00A25FFF" w:rsidP="00A25F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2C2ED5">
        <w:rPr>
          <w:rFonts w:hAnsi="Times New Roman" w:cs="Times New Roman"/>
          <w:color w:val="000000"/>
          <w:sz w:val="24"/>
          <w:szCs w:val="24"/>
          <w:lang w:val="ru-RU"/>
        </w:rPr>
        <w:t>заменить дверь в пищеблок.</w:t>
      </w:r>
    </w:p>
    <w:p w:rsidR="006C52E3" w:rsidRPr="002C2ED5" w:rsidRDefault="006C52E3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420216">
        <w:rPr>
          <w:lang w:val="ru-RU"/>
        </w:rPr>
        <w:br/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6C52E3" w:rsidRPr="00A25FFF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A25FFF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6C52E3" w:rsidRPr="00420216" w:rsidRDefault="00A25FFF" w:rsidP="00A25FF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из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о...</w:t>
      </w:r>
      <w:proofErr w:type="gramEnd"/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6C52E3" w:rsidRPr="002C2ED5" w:rsidRDefault="00A25FFF" w:rsidP="00A25FF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2C2ED5">
        <w:rPr>
          <w:rFonts w:hAnsi="Times New Roman" w:cs="Times New Roman"/>
          <w:color w:val="000000"/>
          <w:sz w:val="24"/>
          <w:szCs w:val="24"/>
          <w:lang w:val="ru-RU"/>
        </w:rPr>
        <w:t>картины для рассматривания, плакаты;</w:t>
      </w:r>
    </w:p>
    <w:p w:rsidR="006C52E3" w:rsidRPr="00420216" w:rsidRDefault="007214D3" w:rsidP="007214D3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6C52E3" w:rsidRPr="002C2ED5" w:rsidRDefault="007214D3" w:rsidP="007214D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2C2ED5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обучающихся.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C52E3" w:rsidRPr="00420216" w:rsidRDefault="007214D3" w:rsidP="007214D3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ноутбуком, тремя принтерами, проектором мультимедиа;</w:t>
      </w:r>
    </w:p>
    <w:p w:rsidR="006C52E3" w:rsidRPr="00420216" w:rsidRDefault="007214D3" w:rsidP="007214D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ресурсами, фото-, видеоматериалами, графическими редакторами.</w:t>
      </w: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6C52E3" w:rsidRPr="00420216" w:rsidRDefault="006C52E3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C52E3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52E3" w:rsidRDefault="00420216" w:rsidP="007214D3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6C52E3" w:rsidRDefault="00420216" w:rsidP="007214D3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C52E3" w:rsidRDefault="00420216" w:rsidP="007214D3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C52E3" w:rsidRPr="007214D3" w:rsidRDefault="00420216" w:rsidP="007214D3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C52E3" w:rsidRDefault="00420216" w:rsidP="007214D3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C52E3" w:rsidRPr="007214D3" w:rsidRDefault="00420216" w:rsidP="007214D3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провел текущий ремонт</w:t>
      </w:r>
      <w:r w:rsidR="007214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7214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="007214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участке.</w:t>
      </w:r>
      <w:r w:rsidR="007214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C52E3" w:rsidRPr="00420216" w:rsidRDefault="006C52E3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19.09.2021.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12.10.2022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19.10.2022 проводилось анкетирование</w:t>
      </w:r>
      <w:r w:rsidR="007214D3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C52E3" w:rsidRPr="00420216" w:rsidRDefault="007214D3" w:rsidP="007214D3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C52E3" w:rsidRPr="00420216" w:rsidRDefault="007214D3" w:rsidP="007214D3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C52E3" w:rsidRPr="00420216" w:rsidRDefault="007214D3" w:rsidP="007214D3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C52E3" w:rsidRPr="00420216" w:rsidRDefault="007214D3" w:rsidP="007214D3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C52E3" w:rsidRPr="00420216" w:rsidRDefault="007214D3" w:rsidP="007214D3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 w:rsidR="00420216">
        <w:rPr>
          <w:rFonts w:hAnsi="Times New Roman" w:cs="Times New Roman"/>
          <w:color w:val="000000"/>
          <w:sz w:val="24"/>
          <w:szCs w:val="24"/>
        </w:rPr>
        <w:t> </w:t>
      </w:r>
      <w:r w:rsidR="00420216" w:rsidRPr="0042021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C52E3" w:rsidRPr="00420216" w:rsidRDefault="00420216" w:rsidP="007214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периодически наблюдалось снижение интереса мотивации 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6C52E3" w:rsidRPr="00420216" w:rsidRDefault="006C52E3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2E3" w:rsidRPr="00420216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C52E3" w:rsidRDefault="00420216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p w:rsidR="002C2ED5" w:rsidRPr="00420216" w:rsidRDefault="002C2ED5" w:rsidP="004377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88"/>
        <w:gridCol w:w="1488"/>
        <w:gridCol w:w="1433"/>
      </w:tblGrid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C52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A25FFF" w:rsidRDefault="00A25FFF" w:rsidP="002C2ED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режиме </w:t>
            </w:r>
            <w:r w:rsidR="00A2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дня</w:t>
            </w:r>
            <w:r w:rsidR="00A2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420216">
              <w:rPr>
                <w:lang w:val="ru-RU"/>
              </w:rPr>
              <w:br/>
            </w:r>
            <w:proofErr w:type="spellStart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(33,3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25FFF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A42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(33,3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(33,3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(33,3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20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1/2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A42CEC" w:rsidRDefault="00A42CEC" w:rsidP="002C2ED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A42CEC" w:rsidRDefault="00A42CEC" w:rsidP="002C2ED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A42CEC" w:rsidRDefault="00A42CEC" w:rsidP="002C2ED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A42CEC" w:rsidRDefault="00A42CEC" w:rsidP="002C2ED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C52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20216">
              <w:rPr>
                <w:lang w:val="ru-RU"/>
              </w:rPr>
              <w:br/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A42CEC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C52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420216" w:rsidP="002C2ED5">
            <w:pPr>
              <w:spacing w:before="0" w:beforeAutospacing="0" w:after="0" w:afterAutospacing="0"/>
              <w:rPr>
                <w:lang w:val="ru-RU"/>
              </w:rPr>
            </w:pP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0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Pr="00420216" w:rsidRDefault="006C52E3" w:rsidP="002C2ED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2E3" w:rsidRDefault="00420216" w:rsidP="002C2ED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C52E3" w:rsidRPr="00420216" w:rsidRDefault="00420216" w:rsidP="002C2ED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1B529A" w:rsidRDefault="00420216" w:rsidP="002C2ED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1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A42CEC" w:rsidRDefault="00A42CEC" w:rsidP="002C2ED5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A42CEC" w:rsidRDefault="00A42CEC" w:rsidP="002C2ED5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A42CEC" w:rsidRDefault="00A42CEC" w:rsidP="002C2ED5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1B529A" w:rsidRPr="001B529A" w:rsidRDefault="001B529A" w:rsidP="001B529A">
      <w:pPr>
        <w:shd w:val="clear" w:color="auto" w:fill="FFFFFF"/>
        <w:spacing w:before="0" w:beforeAutospacing="0" w:after="167" w:afterAutospacing="0"/>
        <w:rPr>
          <w:rFonts w:ascii="Arial" w:eastAsia="Times New Roman" w:hAnsi="Arial" w:cs="Arial"/>
          <w:color w:val="222222"/>
          <w:shd w:val="clear" w:color="auto" w:fill="FFFFCC"/>
          <w:lang w:val="ru-RU" w:eastAsia="ru-RU"/>
        </w:rPr>
      </w:pPr>
    </w:p>
    <w:p w:rsidR="001B529A" w:rsidRPr="001B529A" w:rsidRDefault="001B529A" w:rsidP="001B529A">
      <w:pPr>
        <w:rPr>
          <w:rFonts w:hAnsi="Times New Roman" w:cs="Times New Roman"/>
          <w:sz w:val="24"/>
          <w:szCs w:val="24"/>
          <w:lang w:val="ru-RU"/>
        </w:rPr>
      </w:pPr>
    </w:p>
    <w:sectPr w:rsidR="001B529A" w:rsidRPr="001B529A" w:rsidSect="002C2ED5">
      <w:pgSz w:w="11907" w:h="16839"/>
      <w:pgMar w:top="567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D6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13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67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90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6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13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30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B2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45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5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42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04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80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B1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53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47195"/>
    <w:multiLevelType w:val="multilevel"/>
    <w:tmpl w:val="74EA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DA1"/>
    <w:rsid w:val="001B529A"/>
    <w:rsid w:val="00207E02"/>
    <w:rsid w:val="002C2ED5"/>
    <w:rsid w:val="002D33B1"/>
    <w:rsid w:val="002D3591"/>
    <w:rsid w:val="003514A0"/>
    <w:rsid w:val="0038542F"/>
    <w:rsid w:val="00420216"/>
    <w:rsid w:val="00437780"/>
    <w:rsid w:val="004F7E17"/>
    <w:rsid w:val="00534E79"/>
    <w:rsid w:val="005A05CE"/>
    <w:rsid w:val="00653AF6"/>
    <w:rsid w:val="006C52E3"/>
    <w:rsid w:val="007214D3"/>
    <w:rsid w:val="00A25FFF"/>
    <w:rsid w:val="00A42CEC"/>
    <w:rsid w:val="00B73A5A"/>
    <w:rsid w:val="00DF5B38"/>
    <w:rsid w:val="00E438A1"/>
    <w:rsid w:val="00E71A3C"/>
    <w:rsid w:val="00EA4F3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27CD"/>
  <w15:docId w15:val="{0979BA1B-B643-48E1-98C2-1F5A23F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4F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vbvdamscha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стаж педагогических работников</a:t>
            </a:r>
          </a:p>
        </c:rich>
      </c:tx>
      <c:overlay val="0"/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кадров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837-4753-A50A-4C0D75256E30}"/>
                </c:ext>
              </c:extLst>
            </c:dLbl>
            <c:dLbl>
              <c:idx val="1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837-4753-A50A-4C0D75256E30}"/>
                </c:ext>
              </c:extLst>
            </c:dLbl>
            <c:dLbl>
              <c:idx val="2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837-4753-A50A-4C0D75256E30}"/>
                </c:ext>
              </c:extLst>
            </c:dLbl>
            <c:dLbl>
              <c:idx val="3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837-4753-A50A-4C0D75256E30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837-4753-A50A-4C0D75256E30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837-4753-A50A-4C0D75256E30}"/>
                </c:ext>
              </c:extLst>
            </c:dLbl>
            <c:dLbl>
              <c:idx val="6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9837-4753-A50A-4C0D75256E30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837-4753-A50A-4C0D75256E3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моложе 25</c:v>
                </c:pt>
                <c:pt idx="1">
                  <c:v>25-29 лет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837-4753-A50A-4C0D75256E30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F508-D4C1-406B-A225-141AD345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cp:lastPrinted>2023-04-18T04:17:00Z</cp:lastPrinted>
  <dcterms:created xsi:type="dcterms:W3CDTF">2011-11-02T04:15:00Z</dcterms:created>
  <dcterms:modified xsi:type="dcterms:W3CDTF">2023-04-18T04:18:00Z</dcterms:modified>
</cp:coreProperties>
</file>